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Педиатрия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08:36 МСК · База обновлена: 19.07.2026, 18:47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Педиатрия (ПП)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Мама с 3-хлетним сыном на приеме у участкового педиатра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Неустойчивый стул с неприятным запахом, выраженное вздутие живота, низкая прибавка в весе, отставание в нервно-психическом развитии, в течение последнего года. После употребления каши и хлеба мама замечает нарушение стула и увеличение размеров живота.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Ребенок болен около 1 года, когда впервые мама обратила внимание на разжижение стула, выраженный метеоризм и  увеличение размеров живота после употребления овсяной и пшеничных каш, хлебобулочных изделий. На профилактических осмотрах педиатр обратил внимание на низкую прибавку массы тела и снижение темпов роста у ребенка. Была рекомендована консультация эндокринолога и гастроэнтеролога, однако мать не посетила с ребенком данных специалистов.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Ребенок от 1-й беременности, протекавшей на фоне угрозы прерывания в 1-м триместре. Роды 1, самостоятельные, срочные. Масса 3470 гр., длина 53 см. К груди приложили в родильном зале. Неонатальный скрининг пройден, аудиоскрининг пройден. Период новорожденности протекал без особенностей.</w:t>
        <w:br/>
        <w:t>* На грудном вскармливании до 3 месяцев, далее искусственное вскармливание, прикормы введены с 5 мес., вначале овощное пюре (брокколи), затем гречневая каша.</w:t>
        <w:br/>
        <w:t>*</w:t>
        <w:tab/>
        <w:t>Вакцинация выполнена в соответствии с Национальным календарем прививок.</w:t>
        <w:br/>
        <w:t>*</w:t>
        <w:tab/>
        <w:t>Аллергологический анамнез отягощен медикаментозной аллергией: на амоксициллин крапивница.</w:t>
        <w:br/>
        <w:t>*</w:t>
        <w:tab/>
        <w:t>Перенесенные заболевания: ОРВИ до 4-5 р/год, ветряная оспа в 2 года. Травм и операций  не было, гемотрансфузии не проводились.</w:t>
        <w:br/>
        <w:t>*</w:t>
        <w:tab/>
        <w:t>Семейный анамнез отягощен патологией ЖКТ по линии отца ребенка: отец - хронический гастродуоденит, дедушка по линии отца язвенная болезнь ДПК.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Общее состояние средней тяжести.</w:t>
        <w:br/>
        <w:t>* Вес 11,000 г (&lt; -2 SDS)</w:t>
        <w:br/>
        <w:t>* Длина тела 88 см (&lt;-2SDS)</w:t>
        <w:br/>
        <w:t>*</w:t>
        <w:tab/>
        <w:t>Мальчик пониженного питания. Кожные покровы бледно-розовые, чистые, умеренной влажности. Видимые слизистые оболочки физиологической окраски, чистые. Небные дужки и задняя стенка глотки не гиперемированы. Подкожная клетчатка развита недостаточно, распределена равномерно.</w:t>
        <w:br/>
        <w:t>*</w:t>
        <w:tab/>
        <w:t>Периферические лимфатические узлы не пальпируются. Костная система: выраженных деформаций нет. У ребенка отмечается диффузная, мышечная дистония. Движения в суставах в полном объеме, островоспалительные изменения отсутствуют.</w:t>
        <w:br/>
        <w:t>*</w:t>
        <w:tab/>
        <w:t>Носовое дыхание свободное. В легких дыхание пуэрильное, проводится во все отделы, хрипов нет. ЧДД 26/мин.</w:t>
        <w:br/>
        <w:t>*</w:t>
        <w:tab/>
        <w:t>Область сердца визуально не изменена. Тоны сердца ясные, звучные, ритмичные, шумов нет. ЧСС 104/мин.</w:t>
        <w:br/>
        <w:t>*</w:t>
        <w:tab/>
        <w:t>Аппетит сохранен. Живот округлой формы, увеличен в объеме за счет выраженной аэроколии. При пальпации живот мягкий, доступен пальпации во всех отделах. Печень +1,5 см из-под края реберной дуги, селезенка не пальпируется.</w:t>
        <w:br/>
        <w:t>*</w:t>
        <w:tab/>
        <w:t>Со слов мамы, сегодня был однократно обильный зловонный стул, оформленный, без патологических примесей.</w:t>
        <w:br/>
        <w:t>*</w:t>
        <w:tab/>
        <w:t>Мочеиспускание у ребенка свободное, безболезненное. Дизурических явлений нет.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постановки диагноза необходимыми лабораторными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антител к эндомизию,  IgA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общий Ig 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копрограмма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антител к тканевой трансглутаминазе IgA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определение антител к эндомизию,  IgA; 6 — определение антител к тканевой трансглутаминазе IgA</w:t>
      </w:r>
    </w:p>
    <w:p>
      <w:pPr>
        <w:ind w:left="504"/>
      </w:pPr>
      <w:r>
        <w:rPr>
          <w:b w:val="0"/>
          <w:i/>
        </w:rPr>
        <w:t>Рекомендуется определение уровня специфических антител класса IgG (anti-tTG, EMA, anti- DPG) у пациентов с подтвержденным низким уровнем общего IgA.</w:t>
        <w:br/>
        <w:br/>
        <w:t>Антитела к эндомизию (EMA) в качестве своего субстрата также имеют тканевую трансглутаминазу, расположенную в межклеточном веществе, окружающем гладкомышечные элементы собственной пластинки слизистой оболочки тонкой кишки. EMA определяются методом непрямой иммунофлуоресценции с использованием в качестве субстрата тканей пищевода обезьян или пуповины человека. Метод полуколичественный, имеет высокую чувствительность и специфичность, однако требует специального оборудования, а оценка результатов исследования является субъективной и зависит от квалификации специалистов.</w:t>
        <w:br/>
        <w:br/>
      </w:r>
      <w:hyperlink r:id="rId21">
        <w:r>
          <w:rPr>
            <w:color w:val="173C49"/>
            <w:u w:val="single"/>
          </w:rPr>
          <w:t>Клинические рекомендации. Союз педиатров России. Целиакия, 2021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Рекомендуется определение уровня специфических антител класса IgG (anti-tTG, EMA, anti- DPG) у пациентов с подтвержденным низким уровнем общего IgA.</w:t>
        <w:br/>
        <w:br/>
        <w:t>Антитела к тканевой трансглутаминазе (anti-tTG) определяют иммуноферментными методом. Метод характеризуется высокой чувствительностью (98%).</w:t>
        <w:br/>
        <w:br/>
      </w:r>
      <w:hyperlink r:id="rId21">
        <w:r>
          <w:rPr>
            <w:color w:val="173C49"/>
            <w:u w:val="single"/>
          </w:rPr>
          <w:t>Клинические рекомендации. Союз педиатров России. Целиакия, 2021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Необходимыми для постановки диагноза инструментальным методом обследования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эзофагофиброгастродуоденоскопия с биопсией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обзорный рентгеновский снимок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ректороманоскопия с биопсией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УЗИ органов брюшной полости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эзофагофиброгастродуоденоскопия с биопсией</w:t>
      </w:r>
    </w:p>
    <w:p>
      <w:pPr>
        <w:ind w:left="504"/>
      </w:pPr>
      <w:r>
        <w:rPr>
          <w:b w:val="0"/>
          <w:i/>
        </w:rPr>
        <w:t>Рекомендуется: выполнение эндоскопического исследования с забором биоптатов слизистой тонкой кишки пациентам с сильным подозрением на целиакию и/или повышением концентрации специфических антител в сыворотке для гистологической верификации диагноза целиакии</w:t>
        <w:br/>
        <w:br/>
      </w:r>
      <w:hyperlink r:id="rId21">
        <w:r>
          <w:rPr>
            <w:color w:val="173C49"/>
            <w:u w:val="single"/>
          </w:rPr>
          <w:t>Клинические рекомендации. Союз педиатров России. Целиакия, 2021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основании клинической картины заболевания и результатов проведенных обследований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Целиакия симптомная, период манифестации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Болезнь Крона неуточненная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Гастроинтестинальная форма пищевой аллергии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Муковисцидоз, кишечная форма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Целиакия симптомная, период манифестации</w:t>
      </w:r>
    </w:p>
    <w:p>
      <w:pPr>
        <w:ind w:left="504"/>
      </w:pPr>
      <w:r>
        <w:rPr>
          <w:b w:val="0"/>
          <w:i/>
        </w:rPr>
        <w:t>В клинической картине целиакии, в настоящее время целесообразнее выделять симптомные (с гастроэнтерологическими симптомами и/или внекишечными проявлениями) и бессимптомные формы заболевания. У пациентов с бессимптомной (скрытой) формой целиакии отсутствуют какие-либо проявления заболевания. Диагноз в этом случае устанавливается в ходе скрининговых исследований или при обследовании родственников/пациентов из групп риска.</w:t>
        <w:br/>
        <w:br/>
        <w:t>Выделяют периоды заболевания: латентный, клинической манифестации (активный), ремиссии</w:t>
        <w:br/>
        <w:br/>
      </w:r>
      <w:hyperlink r:id="rId21">
        <w:r>
          <w:rPr>
            <w:color w:val="173C49"/>
            <w:u w:val="single"/>
          </w:rPr>
          <w:t>Клинические рекомендации. Союз педиатров России. Целиакия, 2021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Пациентам с неуточненным диагнозом (в сыворотке отсутствует повышенный уровень специфических антител, при этом выявлены характерные для целиакии морфологические изменения) рекомендуется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УЗИ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элиминационную диету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иммунологическое обследование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генетическое исследование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генетическое исследование</w:t>
      </w:r>
    </w:p>
    <w:p>
      <w:pPr>
        <w:ind w:left="504"/>
      </w:pPr>
      <w:r>
        <w:rPr>
          <w:b w:val="0"/>
          <w:i/>
        </w:rPr>
        <w:t>Рекомендуется выполнение генетического исследования пациентам с неуточненным диагнозом (в т.ч. при выявлении характерных для целиакии морфологических изменений при отсутствии повышенного уровня специфических антител в сыворотке). Отсутствие генов HLA-DQ2/DQ8 у данных пациентов свидетельствует об отсутствии у ребенка целиакии (в т.ч. серонегативной) и определяет необходимость продолжения диагностического поиск</w:t>
        <w:br/>
        <w:br/>
      </w:r>
      <w:hyperlink r:id="rId21">
        <w:r>
          <w:rPr>
            <w:color w:val="173C49"/>
            <w:u w:val="single"/>
          </w:rPr>
          <w:t>Клинические рекомендации. Союз педиатров России. Целиакия, 2021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Основой лечения ребенка  с данной патологией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строгая пожизненная безлактозная диета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пожизненный прием полиферментных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своевременная коррекция микробиоты кишечника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строгая пожизненная безглютеновая диета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строгая пожизненная безглютеновая диета</w:t>
      </w:r>
    </w:p>
    <w:p>
      <w:pPr>
        <w:ind w:left="504"/>
      </w:pPr>
      <w:r>
        <w:rPr>
          <w:b w:val="0"/>
          <w:i/>
        </w:rPr>
        <w:t>Единственным методом лечения целиакии и профилактики ее осложнений в настоящее время является строгая пожизненная безглютеновая диета.</w:t>
        <w:br/>
        <w:br/>
      </w:r>
      <w:hyperlink r:id="rId21">
        <w:r>
          <w:rPr>
            <w:color w:val="173C49"/>
            <w:u w:val="single"/>
          </w:rPr>
          <w:t>Клинические рекомендации. Союз педиатров России. Целиакия, 2021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На данном этапе тактика ведения данного больного предполагает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проведение диагностических мероприятий в условиях дневного стационара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госпитализацию в гастроэнтерологическое отделение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наблюдение за пациентом в амбулаторных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госпитализацию в инфекционное отделение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госпитализацию в гастроэнтерологическое отделение</w:t>
      </w:r>
    </w:p>
    <w:p>
      <w:pPr>
        <w:ind w:left="504"/>
      </w:pPr>
      <w:r>
        <w:rPr>
          <w:b w:val="0"/>
          <w:i/>
        </w:rPr>
        <w:t>Рекомендуется: госпитализировать в стационар детей с выраженными проявлениями синдрома мальабсорбции (тяжелая нутритивная недостаточность, нарушения водно-электролитного обмена) для проведения полной диагностической программы, коррекции метаболических нарушений, проведения энтерального/парентерального питания, подбора индивидуального варианта безглютеновой диеты, реабилитационных мероприятий</w:t>
        <w:br/>
        <w:br/>
      </w:r>
      <w:hyperlink r:id="rId21">
        <w:r>
          <w:rPr>
            <w:color w:val="173C49"/>
            <w:u w:val="single"/>
          </w:rPr>
          <w:t>Клинические рекомендации. Союз педиатров России. Целиакия, 2021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Какие препараты могут быть назначены пациенту с целиакией на фоне выраженной диареи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мукоцитопротекторы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прокинетики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ферменты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сорбенты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мукоцитопротекторы</w:t>
      </w:r>
    </w:p>
    <w:p>
      <w:pPr>
        <w:ind w:left="504"/>
      </w:pPr>
      <w:r>
        <w:rPr>
          <w:b w:val="0"/>
          <w:i/>
        </w:rPr>
        <w:t>Медикаментозная терапия при целиакии носит вспомогательный характер, но в ряде случаев может быть жизненно необходимой. В основном она направлена на коррекцию дефицитных состояний, метаболических нарушений, развившихся на фоне синдрома мальабсорбции</w:t>
        <w:br/>
        <w:br/>
        <w:t>Рекомендуется использование мукоцитопротекторов – адсорбентов на фоне выраженной диареи</w:t>
        <w:br/>
        <w:br/>
      </w:r>
      <w:hyperlink r:id="rId21">
        <w:r>
          <w:rPr>
            <w:color w:val="173C49"/>
            <w:u w:val="single"/>
          </w:rPr>
          <w:t>Клинические рекомендации. Союз педиатров России. Целиакия, 2021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рационе питания данного ребенка рекомендовано использовать каши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рисовую, манную, кукурузную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ячневую, овсяную, манную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кукурузную, гречневую, рисовую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манную, овсяную, пшеничную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кукурузную, гречневую, рисовую</w:t>
      </w:r>
    </w:p>
    <w:p>
      <w:pPr>
        <w:ind w:left="504"/>
      </w:pPr>
      <w:r>
        <w:rPr>
          <w:b w:val="0"/>
          <w:i/>
        </w:rPr>
        <w:t>Нетоксичными злаками при целиакии являются рис, гречиха, кукуруза, пшено, амарант, киноа, монтина, чумиза, саго, сорго, тэфф. Не содержат глютена.</w:t>
        <w:br/>
        <w:br/>
      </w:r>
      <w:hyperlink r:id="rId21">
        <w:r>
          <w:rPr>
            <w:color w:val="173C49"/>
            <w:u w:val="single"/>
          </w:rPr>
          <w:t>Клинические рекомендации. Союз педиатров России. Целиакия, 2021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Рекомендованные приемлемые уровни глютена в хлебобулочных, макаронных и кондитерских изделиях должны составлять +__________+ мг/кг  готового продукта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&lt; 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&lt; 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&lt; 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&lt; 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&lt; 20</w:t>
      </w:r>
    </w:p>
    <w:p>
      <w:pPr>
        <w:ind w:left="504"/>
      </w:pPr>
      <w:r>
        <w:rPr>
          <w:b w:val="0"/>
          <w:i/>
        </w:rPr>
        <w:t>Для питания больных с целиакией рекомендуются специализированные безглютеновые продукты-заменители хлебобулочных, макаронных и кондитерских изделий. Рекомендованные приемлемые уровни глютена составляют &lt;20 ppm* (20 мг/кг готового продукта)</w:t>
        <w:br/>
        <w:br/>
      </w:r>
      <w:hyperlink r:id="rId21">
        <w:r>
          <w:rPr>
            <w:color w:val="173C49"/>
            <w:u w:val="single"/>
          </w:rPr>
          <w:t>Клинические рекомендации. Союз педиатров России. Целиакия, 2021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несоблюдении элиминационной диеты при морфологическом исследовании  биоптатов слизистой оболочки тонкой кишки выявляют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эозинофильную инфильтрацию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единичные гранулемы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атрофию ворсин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нейтрофильную инфильтрацию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атрофию ворсин</w:t>
      </w:r>
    </w:p>
    <w:p>
      <w:pPr>
        <w:ind w:left="504"/>
      </w:pPr>
      <w:r>
        <w:rPr>
          <w:b w:val="0"/>
          <w:i/>
        </w:rPr>
        <w:t>Комплекс морфологических изменений слизистой тонкой кишки, свойственных целиакии, включает: увеличение количества межэпителиальных лимфоцитов (МЭЛ), различную степень атрофии ворсинок и гиперплазию крипт.</w:t>
        <w:br/>
        <w:br/>
      </w:r>
      <w:hyperlink r:id="rId21">
        <w:r>
          <w:rPr>
            <w:color w:val="173C49"/>
            <w:u w:val="single"/>
          </w:rPr>
          <w:t>Клинические рекомендации. Союз педиатров России. Целиакия, 2021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Проведение вакцинопрофилактики у ребенка в данном клиническом случае  возможно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по эпидемиологическим показаниям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период ремиссии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вне зависимости от периода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 назначении антигистаминных препаратов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 период ремиссии заболевания</w:t>
      </w:r>
    </w:p>
    <w:p>
      <w:pPr>
        <w:ind w:left="504"/>
      </w:pPr>
      <w:r>
        <w:rPr>
          <w:b w:val="0"/>
          <w:i/>
        </w:rPr>
        <w:t>Рекомендовано проведение профилактических прививок  в период ремиссии.</w:t>
        <w:br/>
        <w:br/>
      </w:r>
      <w:hyperlink r:id="rId21">
        <w:r>
          <w:rPr>
            <w:color w:val="173C49"/>
            <w:u w:val="single"/>
          </w:rPr>
          <w:t>Клинические рекомендации. Союз педиатров России. Целиакия, 2021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 течении первых двух лет после установки диагноза кратность проведения диспансерных осмотров составляет _____  раз/раза в 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2</w:t>
      </w:r>
    </w:p>
    <w:p>
      <w:pPr>
        <w:ind w:left="504"/>
      </w:pPr>
      <w:r>
        <w:rPr>
          <w:b w:val="0"/>
          <w:i/>
        </w:rPr>
        <w:t>Рекомендуется следующая кратность проведения диспансерных осмотров ребенка с установленным диагнозом целиакии: после установки диагноза в течение первых двух лет – 1 раз в 6 месяцев</w:t>
        <w:br/>
        <w:br/>
      </w:r>
      <w:hyperlink r:id="rId21">
        <w:r>
          <w:rPr>
            <w:color w:val="173C49"/>
            <w:u w:val="single"/>
          </w:rPr>
          <w:t>Клинические рекомендации. Союз педиатров России. Целиакия, 2021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Педиатрия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celiaki2021/" TargetMode="External"/><Relationship Id="rId22" Type="http://schemas.openxmlformats.org/officeDocument/2006/relationships/hyperlink" Target="https://library.mededtech.ru/rest/documents/celiaki2021/#paragraph_91gn31" TargetMode="External"/><Relationship Id="rId23" Type="http://schemas.openxmlformats.org/officeDocument/2006/relationships/hyperlink" Target="https://library.mededtech.ru/rest/documents/celiaki2021/#paragraph_06fqca" TargetMode="External"/><Relationship Id="rId24" Type="http://schemas.openxmlformats.org/officeDocument/2006/relationships/hyperlink" Target="https://library.mededtech.ru/rest/documents/celiaki2021/#paragraph_o2nuf4" TargetMode="External"/><Relationship Id="rId25" Type="http://schemas.openxmlformats.org/officeDocument/2006/relationships/hyperlink" Target="https://library.mededtech.ru/rest/documents/celiaki2021/#paragraph_2mugmo" TargetMode="External"/><Relationship Id="rId26" Type="http://schemas.openxmlformats.org/officeDocument/2006/relationships/hyperlink" Target="https://library.mededtech.ru/rest/documents/celiaki2021/#paragraph_c5jvri" TargetMode="External"/><Relationship Id="rId27" Type="http://schemas.openxmlformats.org/officeDocument/2006/relationships/image" Target="media/image6.png"/><Relationship Id="rId28" Type="http://schemas.openxmlformats.org/officeDocument/2006/relationships/hyperlink" Target="https://library.mededtech.ru/rest/documents/celiaki2021/#paragraph_uh7n0u" TargetMode="External"/><Relationship Id="rId29" Type="http://schemas.openxmlformats.org/officeDocument/2006/relationships/hyperlink" Target="https://library.mededtech.ru/rest/documents/celiaki2021/#paragraph_dnqtk1" TargetMode="External"/><Relationship Id="rId30" Type="http://schemas.openxmlformats.org/officeDocument/2006/relationships/image" Target="media/image7.png"/><Relationship Id="rId31" Type="http://schemas.openxmlformats.org/officeDocument/2006/relationships/hyperlink" Target="https://library.mededtech.ru/rest/documents/celiaki2021/#paragraph_htor0s" TargetMode="External"/><Relationship Id="rId32" Type="http://schemas.openxmlformats.org/officeDocument/2006/relationships/hyperlink" Target="https://library.mededtech.ru/rest/documents/celiaki2021/#paragraph_dobgi2" TargetMode="External"/><Relationship Id="rId33" Type="http://schemas.openxmlformats.org/officeDocument/2006/relationships/image" Target="media/image8.png"/><Relationship Id="rId34" Type="http://schemas.openxmlformats.org/officeDocument/2006/relationships/hyperlink" Target="https://library.mededtech.ru/rest/documents/celiaki2021/#paragraph_8qiig4" TargetMode="External"/><Relationship Id="rId35" Type="http://schemas.openxmlformats.org/officeDocument/2006/relationships/hyperlink" Target="https://library.mededtech.ru/rest/documents/celiaki2021/#paragraph_86gsh1" TargetMode="External"/><Relationship Id="rId36" Type="http://schemas.openxmlformats.org/officeDocument/2006/relationships/hyperlink" Target="https://library.mededtech.ru/rest/documents/celiaki2021/#paragraph_ct57m6" TargetMode="External"/><Relationship Id="rId37" Type="http://schemas.openxmlformats.org/officeDocument/2006/relationships/hyperlink" Target="https://library.mededtech.ru/rest/documents/celiaki2021/#paragraph_564fi1" TargetMode="External"/><Relationship Id="rId38" Type="http://schemas.openxmlformats.org/officeDocument/2006/relationships/hyperlink" Target="https://library.mededtech.ru/rest/documents/celiaki2021/#list_item_bl3s6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